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F3990" w14:textId="77777777" w:rsidR="00571367" w:rsidRDefault="00571367" w:rsidP="00571367">
      <w:pPr>
        <w:pStyle w:val="Heading1"/>
        <w:tabs>
          <w:tab w:val="left" w:pos="1286"/>
          <w:tab w:val="center" w:pos="4513"/>
        </w:tabs>
      </w:pPr>
      <w:r>
        <w:tab/>
      </w:r>
    </w:p>
    <w:p w14:paraId="11E2B7D9" w14:textId="73BAB99A" w:rsidR="00E5372E" w:rsidRDefault="00571367" w:rsidP="00571367">
      <w:pPr>
        <w:pStyle w:val="Heading1"/>
        <w:tabs>
          <w:tab w:val="left" w:pos="1286"/>
          <w:tab w:val="center" w:pos="4513"/>
        </w:tabs>
      </w:pPr>
      <w:r>
        <w:tab/>
      </w:r>
      <w:r w:rsidR="00EB392B">
        <w:t xml:space="preserve">Et si le débat sur l’inflation </w:t>
      </w:r>
      <w:r w:rsidR="0088372D">
        <w:t>était un faux débat ?</w:t>
      </w:r>
    </w:p>
    <w:p w14:paraId="54184477" w14:textId="33FFB237" w:rsidR="00571367" w:rsidRPr="00571367" w:rsidRDefault="00571367" w:rsidP="00571367">
      <w:pPr>
        <w:jc w:val="center"/>
        <w:rPr>
          <w:b/>
          <w:bCs/>
        </w:rPr>
      </w:pPr>
      <w:r w:rsidRPr="00571367">
        <w:rPr>
          <w:b/>
          <w:bCs/>
        </w:rPr>
        <w:t>Carte blanche - Bernard Keppenne, Chief Economist CBC Banque</w:t>
      </w:r>
    </w:p>
    <w:p w14:paraId="3D9449E4" w14:textId="7CE388B1" w:rsidR="00EB392B" w:rsidRDefault="00EB392B">
      <w:pPr>
        <w:rPr>
          <w:rFonts w:ascii="Verdana" w:hAnsi="Verdana"/>
          <w:sz w:val="24"/>
          <w:szCs w:val="24"/>
        </w:rPr>
      </w:pPr>
    </w:p>
    <w:p w14:paraId="3FFFD879" w14:textId="3029BA09" w:rsidR="00EB392B" w:rsidRPr="000A2243" w:rsidRDefault="00EB392B" w:rsidP="000A2243">
      <w:pPr>
        <w:jc w:val="both"/>
        <w:rPr>
          <w:rFonts w:ascii="Verdana" w:hAnsi="Verdana"/>
          <w:sz w:val="20"/>
          <w:szCs w:val="20"/>
        </w:rPr>
      </w:pPr>
      <w:r w:rsidRPr="000A2243">
        <w:rPr>
          <w:rFonts w:ascii="Verdana" w:hAnsi="Verdana"/>
          <w:sz w:val="20"/>
          <w:szCs w:val="20"/>
        </w:rPr>
        <w:t>L’inflation est de retour peut-on lire partout</w:t>
      </w:r>
      <w:r w:rsidR="000A2243">
        <w:rPr>
          <w:rFonts w:ascii="Verdana" w:hAnsi="Verdana"/>
          <w:sz w:val="20"/>
          <w:szCs w:val="20"/>
        </w:rPr>
        <w:t>. E</w:t>
      </w:r>
      <w:r w:rsidRPr="000A2243">
        <w:rPr>
          <w:rFonts w:ascii="Verdana" w:hAnsi="Verdana"/>
          <w:sz w:val="20"/>
          <w:szCs w:val="20"/>
        </w:rPr>
        <w:t>t avec elle</w:t>
      </w:r>
      <w:r w:rsidR="000A2243">
        <w:rPr>
          <w:rFonts w:ascii="Verdana" w:hAnsi="Verdana"/>
          <w:sz w:val="20"/>
          <w:szCs w:val="20"/>
        </w:rPr>
        <w:t>,</w:t>
      </w:r>
      <w:r w:rsidRPr="000A2243">
        <w:rPr>
          <w:rFonts w:ascii="Verdana" w:hAnsi="Verdana"/>
          <w:sz w:val="20"/>
          <w:szCs w:val="20"/>
        </w:rPr>
        <w:t xml:space="preserve"> la crainte de voir une remontée brutale des taux qui viendrait tuer </w:t>
      </w:r>
      <w:r w:rsidR="000A2243" w:rsidRPr="000A2243">
        <w:rPr>
          <w:rFonts w:ascii="Verdana" w:hAnsi="Verdana"/>
          <w:sz w:val="20"/>
          <w:szCs w:val="20"/>
        </w:rPr>
        <w:t xml:space="preserve">la reprise </w:t>
      </w:r>
      <w:r w:rsidRPr="000A2243">
        <w:rPr>
          <w:rFonts w:ascii="Verdana" w:hAnsi="Verdana"/>
          <w:sz w:val="20"/>
          <w:szCs w:val="20"/>
        </w:rPr>
        <w:t>dans l’œuf. Et surtout compte tenu de l’envolée des endettements des Etats</w:t>
      </w:r>
      <w:r w:rsidR="005925E0" w:rsidRPr="000A2243">
        <w:rPr>
          <w:rFonts w:ascii="Verdana" w:hAnsi="Verdana"/>
          <w:sz w:val="20"/>
          <w:szCs w:val="20"/>
        </w:rPr>
        <w:t>,</w:t>
      </w:r>
      <w:r w:rsidRPr="000A2243">
        <w:rPr>
          <w:rFonts w:ascii="Verdana" w:hAnsi="Verdana"/>
          <w:sz w:val="20"/>
          <w:szCs w:val="20"/>
        </w:rPr>
        <w:t xml:space="preserve"> </w:t>
      </w:r>
      <w:r w:rsidR="004960AD">
        <w:rPr>
          <w:rFonts w:ascii="Verdana" w:hAnsi="Verdana"/>
          <w:sz w:val="20"/>
          <w:szCs w:val="20"/>
        </w:rPr>
        <w:t>l’inflation</w:t>
      </w:r>
      <w:r w:rsidR="00A15306" w:rsidRPr="000A2243">
        <w:rPr>
          <w:rFonts w:ascii="Verdana" w:hAnsi="Verdana"/>
          <w:sz w:val="20"/>
          <w:szCs w:val="20"/>
        </w:rPr>
        <w:t xml:space="preserve"> </w:t>
      </w:r>
      <w:r w:rsidRPr="000A2243">
        <w:rPr>
          <w:rFonts w:ascii="Verdana" w:hAnsi="Verdana"/>
          <w:sz w:val="20"/>
          <w:szCs w:val="20"/>
        </w:rPr>
        <w:t>provoquerait</w:t>
      </w:r>
      <w:r w:rsidR="005925E0" w:rsidRPr="000A2243">
        <w:rPr>
          <w:rFonts w:ascii="Verdana" w:hAnsi="Verdana"/>
          <w:sz w:val="20"/>
          <w:szCs w:val="20"/>
        </w:rPr>
        <w:t>,</w:t>
      </w:r>
      <w:r w:rsidRPr="000A2243">
        <w:rPr>
          <w:rFonts w:ascii="Verdana" w:hAnsi="Verdana"/>
          <w:sz w:val="20"/>
          <w:szCs w:val="20"/>
        </w:rPr>
        <w:t xml:space="preserve"> par cette hausse des taux</w:t>
      </w:r>
      <w:r w:rsidR="005925E0" w:rsidRPr="000A2243">
        <w:rPr>
          <w:rFonts w:ascii="Verdana" w:hAnsi="Verdana"/>
          <w:sz w:val="20"/>
          <w:szCs w:val="20"/>
        </w:rPr>
        <w:t>,</w:t>
      </w:r>
      <w:r w:rsidRPr="000A2243">
        <w:rPr>
          <w:rFonts w:ascii="Verdana" w:hAnsi="Verdana"/>
          <w:sz w:val="20"/>
          <w:szCs w:val="20"/>
        </w:rPr>
        <w:t xml:space="preserve"> une crise majeur</w:t>
      </w:r>
      <w:r w:rsidR="00DE3D82">
        <w:rPr>
          <w:rFonts w:ascii="Verdana" w:hAnsi="Verdana"/>
          <w:sz w:val="20"/>
          <w:szCs w:val="20"/>
        </w:rPr>
        <w:t>e</w:t>
      </w:r>
      <w:r w:rsidRPr="000A2243">
        <w:rPr>
          <w:rFonts w:ascii="Verdana" w:hAnsi="Verdana"/>
          <w:sz w:val="20"/>
          <w:szCs w:val="20"/>
        </w:rPr>
        <w:t xml:space="preserve"> de la dette. Mais la question qu’il faut se poser est </w:t>
      </w:r>
      <w:r w:rsidR="0088372D">
        <w:rPr>
          <w:rFonts w:ascii="Verdana" w:hAnsi="Verdana"/>
          <w:sz w:val="20"/>
          <w:szCs w:val="20"/>
        </w:rPr>
        <w:t xml:space="preserve">plutôt </w:t>
      </w:r>
      <w:r w:rsidRPr="000A2243">
        <w:rPr>
          <w:rFonts w:ascii="Verdana" w:hAnsi="Verdana"/>
          <w:sz w:val="20"/>
          <w:szCs w:val="20"/>
        </w:rPr>
        <w:t xml:space="preserve">de savoir si le retour de l’inflation est si inquiétant </w:t>
      </w:r>
      <w:r w:rsidR="00DE3D82">
        <w:rPr>
          <w:rFonts w:ascii="Verdana" w:hAnsi="Verdana"/>
          <w:sz w:val="20"/>
          <w:szCs w:val="20"/>
        </w:rPr>
        <w:t>que</w:t>
      </w:r>
      <w:r w:rsidRPr="000A2243">
        <w:rPr>
          <w:rFonts w:ascii="Verdana" w:hAnsi="Verdana"/>
          <w:sz w:val="20"/>
          <w:szCs w:val="20"/>
        </w:rPr>
        <w:t xml:space="preserve"> cela</w:t>
      </w:r>
      <w:r w:rsidR="0088372D">
        <w:rPr>
          <w:rFonts w:ascii="Verdana" w:hAnsi="Verdana"/>
          <w:sz w:val="20"/>
          <w:szCs w:val="20"/>
        </w:rPr>
        <w:t>…</w:t>
      </w:r>
    </w:p>
    <w:p w14:paraId="2797CB20" w14:textId="50FF47B9" w:rsidR="00EB392B" w:rsidRPr="00DE3D82" w:rsidRDefault="00A8234A" w:rsidP="000A2243">
      <w:pPr>
        <w:jc w:val="both"/>
        <w:rPr>
          <w:rFonts w:ascii="Verdana" w:hAnsi="Verdana"/>
          <w:color w:val="00B0F0"/>
          <w:sz w:val="20"/>
          <w:szCs w:val="20"/>
        </w:rPr>
      </w:pPr>
      <w:r>
        <w:rPr>
          <w:rFonts w:ascii="Verdana" w:hAnsi="Verdana"/>
          <w:color w:val="00B0F0"/>
          <w:sz w:val="20"/>
          <w:szCs w:val="20"/>
        </w:rPr>
        <w:t>L’inflation est bien de retour</w:t>
      </w:r>
    </w:p>
    <w:p w14:paraId="0B3B103B" w14:textId="1ACF955B" w:rsidR="00A15306" w:rsidRPr="000A2243" w:rsidRDefault="00A15306" w:rsidP="000A2243">
      <w:pPr>
        <w:jc w:val="both"/>
        <w:rPr>
          <w:rFonts w:ascii="Verdana" w:hAnsi="Verdana"/>
          <w:sz w:val="20"/>
          <w:szCs w:val="20"/>
        </w:rPr>
      </w:pPr>
      <w:r w:rsidRPr="000A2243">
        <w:rPr>
          <w:rFonts w:ascii="Verdana" w:hAnsi="Verdana"/>
          <w:sz w:val="20"/>
          <w:szCs w:val="20"/>
        </w:rPr>
        <w:t>Les chiffres sont sans ambiguïté, l’inflation est bien en hausse comme l’a confirmé l’indicateur de référence de la FED, à savoir l’indice des prix des dépenses de consommation personnelle (PCE) qui, en taux annuel, est passé de 1.9% à 3.</w:t>
      </w:r>
      <w:r w:rsidR="00797967">
        <w:rPr>
          <w:rFonts w:ascii="Verdana" w:hAnsi="Verdana"/>
          <w:sz w:val="20"/>
          <w:szCs w:val="20"/>
        </w:rPr>
        <w:t>6</w:t>
      </w:r>
      <w:r w:rsidRPr="000A2243">
        <w:rPr>
          <w:rFonts w:ascii="Verdana" w:hAnsi="Verdana"/>
          <w:sz w:val="20"/>
          <w:szCs w:val="20"/>
        </w:rPr>
        <w:t xml:space="preserve">%. En zone euro, l’inflation s’affiche à 2% en taux annuel, soit son taux le plus élevé depuis octobre 2018 et à comparer au taux de 0.1% du mois de mai 2020. </w:t>
      </w:r>
    </w:p>
    <w:p w14:paraId="7CF5C59B" w14:textId="4EEC3360" w:rsidR="00AE7D51" w:rsidRPr="000A2243" w:rsidRDefault="00301C61" w:rsidP="00A8234A">
      <w:pPr>
        <w:jc w:val="both"/>
        <w:rPr>
          <w:rFonts w:ascii="Verdana" w:hAnsi="Verdana"/>
          <w:sz w:val="20"/>
          <w:szCs w:val="20"/>
        </w:rPr>
      </w:pPr>
      <w:r w:rsidRPr="000A2243">
        <w:rPr>
          <w:rFonts w:ascii="Verdana" w:hAnsi="Verdana"/>
          <w:sz w:val="20"/>
          <w:szCs w:val="20"/>
        </w:rPr>
        <w:t>Quels sont les facteurs explicatifs de cette hausse</w:t>
      </w:r>
      <w:r w:rsidR="00711284" w:rsidRPr="000A2243">
        <w:rPr>
          <w:rFonts w:ascii="Verdana" w:hAnsi="Verdana"/>
          <w:sz w:val="20"/>
          <w:szCs w:val="20"/>
        </w:rPr>
        <w:t xml:space="preserve"> </w:t>
      </w:r>
      <w:r w:rsidRPr="000A2243">
        <w:rPr>
          <w:rFonts w:ascii="Verdana" w:hAnsi="Verdana"/>
          <w:sz w:val="20"/>
          <w:szCs w:val="20"/>
        </w:rPr>
        <w:t>?</w:t>
      </w:r>
      <w:r w:rsidR="000F1085">
        <w:rPr>
          <w:rFonts w:ascii="Verdana" w:hAnsi="Verdana"/>
          <w:sz w:val="20"/>
          <w:szCs w:val="20"/>
        </w:rPr>
        <w:t xml:space="preserve"> </w:t>
      </w:r>
      <w:r w:rsidRPr="000A2243">
        <w:rPr>
          <w:rFonts w:ascii="Verdana" w:hAnsi="Verdana"/>
          <w:sz w:val="20"/>
          <w:szCs w:val="20"/>
        </w:rPr>
        <w:t xml:space="preserve">En premier lieu, la remontée du prix du baril qui est passé de 22 $ en avril 2020 à quasiment 70 $ un an plus tard, est évidemment une raison </w:t>
      </w:r>
      <w:r w:rsidR="00FB302F">
        <w:rPr>
          <w:rFonts w:ascii="Verdana" w:hAnsi="Verdana"/>
          <w:sz w:val="20"/>
          <w:szCs w:val="20"/>
        </w:rPr>
        <w:t xml:space="preserve">majeure </w:t>
      </w:r>
      <w:r w:rsidRPr="000A2243">
        <w:rPr>
          <w:rFonts w:ascii="Verdana" w:hAnsi="Verdana"/>
          <w:sz w:val="20"/>
          <w:szCs w:val="20"/>
        </w:rPr>
        <w:t xml:space="preserve">de cette remontée de l’inflation. Le deuxième élément est lié à des facteurs techniques temporaires comme l’a rappelé dernièrement Philip Lane, </w:t>
      </w:r>
      <w:r w:rsidR="00A6174C" w:rsidRPr="000A2243">
        <w:rPr>
          <w:rFonts w:ascii="Verdana" w:hAnsi="Verdana"/>
          <w:sz w:val="20"/>
          <w:szCs w:val="20"/>
        </w:rPr>
        <w:t>le Chief Economist de la B</w:t>
      </w:r>
      <w:r w:rsidR="006A652C">
        <w:rPr>
          <w:rFonts w:ascii="Verdana" w:hAnsi="Verdana"/>
          <w:sz w:val="20"/>
          <w:szCs w:val="20"/>
        </w:rPr>
        <w:t>anque Centrale Européenne (BCE)</w:t>
      </w:r>
      <w:r w:rsidR="00A6174C" w:rsidRPr="000A2243">
        <w:rPr>
          <w:rFonts w:ascii="Verdana" w:hAnsi="Verdana"/>
          <w:sz w:val="20"/>
          <w:szCs w:val="20"/>
        </w:rPr>
        <w:t>. Dans ces facteurs</w:t>
      </w:r>
      <w:r w:rsidR="00FB302F">
        <w:rPr>
          <w:rFonts w:ascii="Verdana" w:hAnsi="Verdana"/>
          <w:sz w:val="20"/>
          <w:szCs w:val="20"/>
        </w:rPr>
        <w:t>,</w:t>
      </w:r>
      <w:r w:rsidR="00A6174C" w:rsidRPr="000A2243">
        <w:rPr>
          <w:rFonts w:ascii="Verdana" w:hAnsi="Verdana"/>
          <w:sz w:val="20"/>
          <w:szCs w:val="20"/>
        </w:rPr>
        <w:t xml:space="preserve"> il faut pointer l’instauration, en Allemagne, d’une taxe carbone sur les prix des combustibles liquides et du gaz, en janvier 2021</w:t>
      </w:r>
      <w:r w:rsidR="00AE7D51" w:rsidRPr="000A2243">
        <w:rPr>
          <w:rFonts w:ascii="Verdana" w:hAnsi="Verdana"/>
          <w:sz w:val="20"/>
          <w:szCs w:val="20"/>
        </w:rPr>
        <w:t xml:space="preserve"> et la refonte de l’indice des prix</w:t>
      </w:r>
      <w:r w:rsidR="00711284" w:rsidRPr="000A2243">
        <w:rPr>
          <w:rFonts w:ascii="Verdana" w:hAnsi="Verdana"/>
          <w:sz w:val="20"/>
          <w:szCs w:val="20"/>
        </w:rPr>
        <w:t>,</w:t>
      </w:r>
      <w:r w:rsidR="00AE7D51" w:rsidRPr="000A2243">
        <w:rPr>
          <w:rFonts w:ascii="Verdana" w:hAnsi="Verdana"/>
          <w:sz w:val="20"/>
          <w:szCs w:val="20"/>
        </w:rPr>
        <w:t xml:space="preserve"> qui intervient chaque année</w:t>
      </w:r>
      <w:r w:rsidR="00711284" w:rsidRPr="000A2243">
        <w:rPr>
          <w:rFonts w:ascii="Verdana" w:hAnsi="Verdana"/>
          <w:sz w:val="20"/>
          <w:szCs w:val="20"/>
        </w:rPr>
        <w:t>,</w:t>
      </w:r>
      <w:r w:rsidR="00AE7D51" w:rsidRPr="000A2243">
        <w:rPr>
          <w:rFonts w:ascii="Verdana" w:hAnsi="Verdana"/>
          <w:sz w:val="20"/>
          <w:szCs w:val="20"/>
        </w:rPr>
        <w:t xml:space="preserve"> mais dont l’impact n’a pas été neutre cette fois-ci.</w:t>
      </w:r>
      <w:r w:rsidR="00FB302F">
        <w:rPr>
          <w:rFonts w:ascii="Verdana" w:hAnsi="Verdana"/>
          <w:sz w:val="20"/>
          <w:szCs w:val="20"/>
        </w:rPr>
        <w:t xml:space="preserve"> </w:t>
      </w:r>
      <w:r w:rsidR="00AE7D51" w:rsidRPr="000A2243">
        <w:rPr>
          <w:rFonts w:ascii="Verdana" w:hAnsi="Verdana"/>
          <w:sz w:val="20"/>
          <w:szCs w:val="20"/>
        </w:rPr>
        <w:t xml:space="preserve">En effet, la pandémie a entraîné une redistribution des dépenses de consommation qui se sont effondrées dans les secteurs du tourisme, des voyages et de l’hôtellerie, alors qu’elles ont augmenté </w:t>
      </w:r>
      <w:r w:rsidR="00A8234A">
        <w:rPr>
          <w:rFonts w:ascii="Verdana" w:hAnsi="Verdana"/>
          <w:sz w:val="20"/>
          <w:szCs w:val="20"/>
        </w:rPr>
        <w:t>à tout niveau en</w:t>
      </w:r>
      <w:r w:rsidR="00AE7D51" w:rsidRPr="000A2243">
        <w:rPr>
          <w:rFonts w:ascii="Verdana" w:hAnsi="Verdana"/>
          <w:sz w:val="20"/>
          <w:szCs w:val="20"/>
        </w:rPr>
        <w:t xml:space="preserve"> ce qui concerne la maison. Avec comme conséquence, selon les calculs de la BCE que la repondération de l’indice des prix a représenté une hausse de 0,3 </w:t>
      </w:r>
      <w:r w:rsidR="003064FA" w:rsidRPr="000A2243">
        <w:rPr>
          <w:rFonts w:ascii="Verdana" w:hAnsi="Verdana"/>
          <w:sz w:val="20"/>
          <w:szCs w:val="20"/>
        </w:rPr>
        <w:t>%</w:t>
      </w:r>
      <w:r w:rsidR="00AE7D51" w:rsidRPr="000A2243">
        <w:rPr>
          <w:rFonts w:ascii="Verdana" w:hAnsi="Verdana"/>
          <w:sz w:val="20"/>
          <w:szCs w:val="20"/>
        </w:rPr>
        <w:t xml:space="preserve"> de l’</w:t>
      </w:r>
      <w:r w:rsidR="002A474D" w:rsidRPr="000A2243">
        <w:rPr>
          <w:rFonts w:ascii="Verdana" w:hAnsi="Verdana"/>
          <w:sz w:val="20"/>
          <w:szCs w:val="20"/>
        </w:rPr>
        <w:t>Indice des Prix à la Consommation Harmonisé (</w:t>
      </w:r>
      <w:r w:rsidR="00AE7D51" w:rsidRPr="000A2243">
        <w:rPr>
          <w:rFonts w:ascii="Verdana" w:hAnsi="Verdana"/>
          <w:sz w:val="20"/>
          <w:szCs w:val="20"/>
        </w:rPr>
        <w:t>IPCH</w:t>
      </w:r>
      <w:r w:rsidR="002A474D" w:rsidRPr="000A2243">
        <w:rPr>
          <w:rFonts w:ascii="Verdana" w:hAnsi="Verdana"/>
          <w:sz w:val="20"/>
          <w:szCs w:val="20"/>
        </w:rPr>
        <w:t>)</w:t>
      </w:r>
      <w:r w:rsidR="00AE7D51" w:rsidRPr="000A2243">
        <w:rPr>
          <w:rFonts w:ascii="Verdana" w:hAnsi="Verdana"/>
          <w:sz w:val="20"/>
          <w:szCs w:val="20"/>
        </w:rPr>
        <w:t xml:space="preserve"> en janvier. </w:t>
      </w:r>
    </w:p>
    <w:p w14:paraId="0A33E25E" w14:textId="640CAFCF" w:rsidR="002A474D" w:rsidRPr="000A2243" w:rsidRDefault="002A474D" w:rsidP="000A2243">
      <w:pPr>
        <w:tabs>
          <w:tab w:val="num" w:pos="720"/>
        </w:tabs>
        <w:jc w:val="both"/>
        <w:rPr>
          <w:rFonts w:ascii="Verdana" w:hAnsi="Verdana"/>
          <w:sz w:val="20"/>
          <w:szCs w:val="20"/>
        </w:rPr>
      </w:pPr>
      <w:r w:rsidRPr="000A2243">
        <w:rPr>
          <w:rFonts w:ascii="Verdana" w:hAnsi="Verdana"/>
          <w:sz w:val="20"/>
          <w:szCs w:val="20"/>
        </w:rPr>
        <w:t>A côté de cela, il faut encore pointer deux facteurs</w:t>
      </w:r>
      <w:r w:rsidR="00A8234A">
        <w:rPr>
          <w:rFonts w:ascii="Verdana" w:hAnsi="Verdana"/>
          <w:sz w:val="20"/>
          <w:szCs w:val="20"/>
        </w:rPr>
        <w:t> ;</w:t>
      </w:r>
      <w:r w:rsidRPr="000A2243">
        <w:rPr>
          <w:rFonts w:ascii="Verdana" w:hAnsi="Verdana"/>
          <w:sz w:val="20"/>
          <w:szCs w:val="20"/>
        </w:rPr>
        <w:t xml:space="preserve"> des réductions temporaires  de la TVA qui ont momentanément ralenti l’inflation en 2020, avant de la faire provisoirement remonter en 2021, à mesure que ces dispositifs prennent fin. </w:t>
      </w:r>
      <w:r w:rsidR="00FB302F">
        <w:rPr>
          <w:rFonts w:ascii="Verdana" w:hAnsi="Verdana"/>
          <w:sz w:val="20"/>
          <w:szCs w:val="20"/>
        </w:rPr>
        <w:t>Notons également l</w:t>
      </w:r>
      <w:r w:rsidRPr="000A2243">
        <w:rPr>
          <w:rFonts w:ascii="Verdana" w:hAnsi="Verdana"/>
          <w:sz w:val="20"/>
          <w:szCs w:val="20"/>
        </w:rPr>
        <w:t>es changements dans le calendrier des soldes saisonni</w:t>
      </w:r>
      <w:r w:rsidR="00A8234A">
        <w:rPr>
          <w:rFonts w:ascii="Verdana" w:hAnsi="Verdana"/>
          <w:sz w:val="20"/>
          <w:szCs w:val="20"/>
        </w:rPr>
        <w:t>ère</w:t>
      </w:r>
      <w:r w:rsidRPr="000A2243">
        <w:rPr>
          <w:rFonts w:ascii="Verdana" w:hAnsi="Verdana"/>
          <w:sz w:val="20"/>
          <w:szCs w:val="20"/>
        </w:rPr>
        <w:t>s.</w:t>
      </w:r>
    </w:p>
    <w:p w14:paraId="1409306D" w14:textId="31478B4C" w:rsidR="002A474D" w:rsidRPr="000A2243" w:rsidRDefault="002A474D" w:rsidP="000A2243">
      <w:pPr>
        <w:tabs>
          <w:tab w:val="num" w:pos="720"/>
        </w:tabs>
        <w:jc w:val="both"/>
        <w:rPr>
          <w:rFonts w:ascii="Verdana" w:hAnsi="Verdana"/>
          <w:sz w:val="20"/>
          <w:szCs w:val="20"/>
        </w:rPr>
      </w:pPr>
      <w:r w:rsidRPr="000A2243">
        <w:rPr>
          <w:rFonts w:ascii="Verdana" w:hAnsi="Verdana"/>
          <w:sz w:val="20"/>
          <w:szCs w:val="20"/>
        </w:rPr>
        <w:t>Comme on le voit, une série de ces facteurs auront un effet temporaire, mais ce n’est pas tout comme raison.</w:t>
      </w:r>
      <w:r w:rsidR="00FB302F">
        <w:rPr>
          <w:rFonts w:ascii="Verdana" w:hAnsi="Verdana"/>
          <w:sz w:val="20"/>
          <w:szCs w:val="20"/>
        </w:rPr>
        <w:t xml:space="preserve"> </w:t>
      </w:r>
      <w:r w:rsidRPr="000A2243">
        <w:rPr>
          <w:rFonts w:ascii="Verdana" w:hAnsi="Verdana"/>
          <w:sz w:val="20"/>
          <w:szCs w:val="20"/>
        </w:rPr>
        <w:t>Cette hausse est aussi liée à la forte reprise de l’activité avec la fin des mesures de confinement</w:t>
      </w:r>
      <w:r w:rsidR="00A8234A">
        <w:rPr>
          <w:rFonts w:ascii="Verdana" w:hAnsi="Verdana"/>
          <w:sz w:val="20"/>
          <w:szCs w:val="20"/>
        </w:rPr>
        <w:t xml:space="preserve">. Elles </w:t>
      </w:r>
      <w:r w:rsidRPr="000A2243">
        <w:rPr>
          <w:rFonts w:ascii="Verdana" w:hAnsi="Verdana"/>
          <w:sz w:val="20"/>
          <w:szCs w:val="20"/>
        </w:rPr>
        <w:t>entraine</w:t>
      </w:r>
      <w:r w:rsidR="00D6711B" w:rsidRPr="000A2243">
        <w:rPr>
          <w:rFonts w:ascii="Verdana" w:hAnsi="Verdana"/>
          <w:sz w:val="20"/>
          <w:szCs w:val="20"/>
        </w:rPr>
        <w:t>nt</w:t>
      </w:r>
      <w:r w:rsidRPr="000A2243">
        <w:rPr>
          <w:rFonts w:ascii="Verdana" w:hAnsi="Verdana"/>
          <w:sz w:val="20"/>
          <w:szCs w:val="20"/>
        </w:rPr>
        <w:t xml:space="preserve"> une forte demande qui se heurte à des goulets d’étranglement dans l’offre. En effet, les entreprises avaient fortement réduit leur stock pour </w:t>
      </w:r>
      <w:r w:rsidR="00134FDF" w:rsidRPr="000A2243">
        <w:rPr>
          <w:rFonts w:ascii="Verdana" w:hAnsi="Verdana"/>
          <w:sz w:val="20"/>
          <w:szCs w:val="20"/>
        </w:rPr>
        <w:t xml:space="preserve">éviter des problèmes </w:t>
      </w:r>
      <w:r w:rsidRPr="000A2243">
        <w:rPr>
          <w:rFonts w:ascii="Verdana" w:hAnsi="Verdana"/>
          <w:sz w:val="20"/>
          <w:szCs w:val="20"/>
        </w:rPr>
        <w:t>de trésorerie et avaient mis en veilleuse leur</w:t>
      </w:r>
      <w:r w:rsidR="00134FDF" w:rsidRPr="000A2243">
        <w:rPr>
          <w:rFonts w:ascii="Verdana" w:hAnsi="Verdana"/>
          <w:sz w:val="20"/>
          <w:szCs w:val="20"/>
        </w:rPr>
        <w:t>s</w:t>
      </w:r>
      <w:r w:rsidRPr="000A2243">
        <w:rPr>
          <w:rFonts w:ascii="Verdana" w:hAnsi="Verdana"/>
          <w:sz w:val="20"/>
          <w:szCs w:val="20"/>
        </w:rPr>
        <w:t xml:space="preserve"> investissement</w:t>
      </w:r>
      <w:r w:rsidR="00134FDF" w:rsidRPr="000A2243">
        <w:rPr>
          <w:rFonts w:ascii="Verdana" w:hAnsi="Verdana"/>
          <w:sz w:val="20"/>
          <w:szCs w:val="20"/>
        </w:rPr>
        <w:t>s</w:t>
      </w:r>
      <w:r w:rsidRPr="000A2243">
        <w:rPr>
          <w:rFonts w:ascii="Verdana" w:hAnsi="Verdana"/>
          <w:sz w:val="20"/>
          <w:szCs w:val="20"/>
        </w:rPr>
        <w:t>. Elles se retrouvent confrontées à une forte hausse de la demande</w:t>
      </w:r>
      <w:r w:rsidR="00A8234A">
        <w:rPr>
          <w:rFonts w:ascii="Verdana" w:hAnsi="Verdana"/>
          <w:sz w:val="20"/>
          <w:szCs w:val="20"/>
        </w:rPr>
        <w:t xml:space="preserve"> </w:t>
      </w:r>
      <w:r w:rsidRPr="000A2243">
        <w:rPr>
          <w:rFonts w:ascii="Verdana" w:hAnsi="Verdana"/>
          <w:sz w:val="20"/>
          <w:szCs w:val="20"/>
        </w:rPr>
        <w:t>qui affecte tous les acteurs au même moment et dans une intensité inégalée</w:t>
      </w:r>
      <w:r w:rsidR="00A8234A">
        <w:rPr>
          <w:rFonts w:ascii="Verdana" w:hAnsi="Verdana"/>
          <w:sz w:val="20"/>
          <w:szCs w:val="20"/>
        </w:rPr>
        <w:t>. Une demande</w:t>
      </w:r>
      <w:r w:rsidRPr="000A2243">
        <w:rPr>
          <w:rFonts w:ascii="Verdana" w:hAnsi="Verdana"/>
          <w:sz w:val="20"/>
          <w:szCs w:val="20"/>
        </w:rPr>
        <w:t xml:space="preserve"> à la hauteur évidemment de la frustration </w:t>
      </w:r>
      <w:r w:rsidR="00486862" w:rsidRPr="000A2243">
        <w:rPr>
          <w:rFonts w:ascii="Verdana" w:hAnsi="Verdana"/>
          <w:sz w:val="20"/>
          <w:szCs w:val="20"/>
        </w:rPr>
        <w:t xml:space="preserve">provoquée par les périodes de confinement. </w:t>
      </w:r>
      <w:r w:rsidR="00A8234A">
        <w:rPr>
          <w:rFonts w:ascii="Verdana" w:hAnsi="Verdana"/>
          <w:sz w:val="20"/>
          <w:szCs w:val="20"/>
        </w:rPr>
        <w:t>Cela</w:t>
      </w:r>
      <w:r w:rsidR="00C66DD2" w:rsidRPr="000A2243">
        <w:rPr>
          <w:rFonts w:ascii="Verdana" w:hAnsi="Verdana"/>
          <w:sz w:val="20"/>
          <w:szCs w:val="20"/>
        </w:rPr>
        <w:t xml:space="preserve"> entraine </w:t>
      </w:r>
      <w:r w:rsidR="00A8234A">
        <w:rPr>
          <w:rFonts w:ascii="Verdana" w:hAnsi="Verdana"/>
          <w:sz w:val="20"/>
          <w:szCs w:val="20"/>
        </w:rPr>
        <w:t xml:space="preserve">naturellement </w:t>
      </w:r>
      <w:r w:rsidR="00C66DD2" w:rsidRPr="000A2243">
        <w:rPr>
          <w:rFonts w:ascii="Verdana" w:hAnsi="Verdana"/>
          <w:sz w:val="20"/>
          <w:szCs w:val="20"/>
        </w:rPr>
        <w:t xml:space="preserve">une forte demande pour les matières premières qui </w:t>
      </w:r>
      <w:r w:rsidR="00033C91" w:rsidRPr="000A2243">
        <w:rPr>
          <w:rFonts w:ascii="Verdana" w:hAnsi="Verdana"/>
          <w:sz w:val="20"/>
          <w:szCs w:val="20"/>
        </w:rPr>
        <w:t xml:space="preserve">ont vu leur prix s’emballer. </w:t>
      </w:r>
    </w:p>
    <w:p w14:paraId="118E86D3" w14:textId="6B7BE5BD" w:rsidR="002A474D" w:rsidRPr="00A8234A" w:rsidRDefault="00A8234A" w:rsidP="000A2243">
      <w:pPr>
        <w:tabs>
          <w:tab w:val="num" w:pos="720"/>
        </w:tabs>
        <w:jc w:val="both"/>
        <w:rPr>
          <w:rFonts w:ascii="Verdana" w:hAnsi="Verdana"/>
          <w:color w:val="00B0F0"/>
          <w:sz w:val="20"/>
          <w:szCs w:val="20"/>
        </w:rPr>
      </w:pPr>
      <w:r w:rsidRPr="00A8234A">
        <w:rPr>
          <w:rFonts w:ascii="Verdana" w:hAnsi="Verdana"/>
          <w:color w:val="00B0F0"/>
          <w:sz w:val="20"/>
          <w:szCs w:val="20"/>
        </w:rPr>
        <w:t>Un débat biaisé</w:t>
      </w:r>
    </w:p>
    <w:p w14:paraId="00F43DD4" w14:textId="1D77C3C3" w:rsidR="002A474D" w:rsidRPr="000A2243" w:rsidRDefault="00486862" w:rsidP="000A2243">
      <w:pPr>
        <w:tabs>
          <w:tab w:val="num" w:pos="720"/>
        </w:tabs>
        <w:jc w:val="both"/>
        <w:rPr>
          <w:rFonts w:ascii="Verdana" w:hAnsi="Verdana"/>
          <w:sz w:val="20"/>
          <w:szCs w:val="20"/>
        </w:rPr>
      </w:pPr>
      <w:r w:rsidRPr="000A2243">
        <w:rPr>
          <w:rFonts w:ascii="Verdana" w:hAnsi="Verdana"/>
          <w:sz w:val="20"/>
          <w:szCs w:val="20"/>
        </w:rPr>
        <w:lastRenderedPageBreak/>
        <w:t>On parle d’inflation lorsqu’il y a une hausse généralisée des prix et non pas seulement de certains produits</w:t>
      </w:r>
      <w:r w:rsidR="00A8234A">
        <w:rPr>
          <w:rFonts w:ascii="Verdana" w:hAnsi="Verdana"/>
          <w:sz w:val="20"/>
          <w:szCs w:val="20"/>
        </w:rPr>
        <w:t>. Il faut aussi que</w:t>
      </w:r>
      <w:r w:rsidRPr="000A2243">
        <w:rPr>
          <w:rFonts w:ascii="Verdana" w:hAnsi="Verdana"/>
          <w:sz w:val="20"/>
          <w:szCs w:val="20"/>
        </w:rPr>
        <w:t xml:space="preserve"> cette hausse </w:t>
      </w:r>
      <w:r w:rsidR="00A8234A">
        <w:rPr>
          <w:rFonts w:ascii="Verdana" w:hAnsi="Verdana"/>
          <w:sz w:val="20"/>
          <w:szCs w:val="20"/>
        </w:rPr>
        <w:t>soit</w:t>
      </w:r>
      <w:r w:rsidRPr="000A2243">
        <w:rPr>
          <w:rFonts w:ascii="Verdana" w:hAnsi="Verdana"/>
          <w:sz w:val="20"/>
          <w:szCs w:val="20"/>
        </w:rPr>
        <w:t xml:space="preserve"> durable. Si </w:t>
      </w:r>
      <w:r w:rsidR="00A8234A">
        <w:rPr>
          <w:rFonts w:ascii="Verdana" w:hAnsi="Verdana"/>
          <w:sz w:val="20"/>
          <w:szCs w:val="20"/>
        </w:rPr>
        <w:t>nous avons</w:t>
      </w:r>
      <w:r w:rsidRPr="000A2243">
        <w:rPr>
          <w:rFonts w:ascii="Verdana" w:hAnsi="Verdana"/>
          <w:sz w:val="20"/>
          <w:szCs w:val="20"/>
        </w:rPr>
        <w:t xml:space="preserve"> une reprise économique extrême</w:t>
      </w:r>
      <w:r w:rsidR="00412A19" w:rsidRPr="000A2243">
        <w:rPr>
          <w:rFonts w:ascii="Verdana" w:hAnsi="Verdana"/>
          <w:sz w:val="20"/>
          <w:szCs w:val="20"/>
        </w:rPr>
        <w:t>ment</w:t>
      </w:r>
      <w:r w:rsidRPr="000A2243">
        <w:rPr>
          <w:rFonts w:ascii="Verdana" w:hAnsi="Verdana"/>
          <w:sz w:val="20"/>
          <w:szCs w:val="20"/>
        </w:rPr>
        <w:t xml:space="preserve"> forte, il est logique </w:t>
      </w:r>
      <w:r w:rsidR="00A8234A">
        <w:rPr>
          <w:rFonts w:ascii="Verdana" w:hAnsi="Verdana"/>
          <w:sz w:val="20"/>
          <w:szCs w:val="20"/>
        </w:rPr>
        <w:t>d’</w:t>
      </w:r>
      <w:r w:rsidRPr="000A2243">
        <w:rPr>
          <w:rFonts w:ascii="Verdana" w:hAnsi="Verdana"/>
          <w:sz w:val="20"/>
          <w:szCs w:val="20"/>
        </w:rPr>
        <w:t>assiste</w:t>
      </w:r>
      <w:r w:rsidR="00A8234A">
        <w:rPr>
          <w:rFonts w:ascii="Verdana" w:hAnsi="Verdana"/>
          <w:sz w:val="20"/>
          <w:szCs w:val="20"/>
        </w:rPr>
        <w:t>r</w:t>
      </w:r>
      <w:r w:rsidRPr="000A2243">
        <w:rPr>
          <w:rFonts w:ascii="Verdana" w:hAnsi="Verdana"/>
          <w:sz w:val="20"/>
          <w:szCs w:val="20"/>
        </w:rPr>
        <w:t xml:space="preserve"> à une hausse de prix de certains produits. Mais comme le montre</w:t>
      </w:r>
      <w:r w:rsidR="00A8234A">
        <w:rPr>
          <w:rFonts w:ascii="Verdana" w:hAnsi="Verdana"/>
          <w:sz w:val="20"/>
          <w:szCs w:val="20"/>
        </w:rPr>
        <w:t>nt</w:t>
      </w:r>
      <w:r w:rsidRPr="000A2243">
        <w:rPr>
          <w:rFonts w:ascii="Verdana" w:hAnsi="Verdana"/>
          <w:sz w:val="20"/>
          <w:szCs w:val="20"/>
        </w:rPr>
        <w:t xml:space="preserve"> les facteurs de cette hausse, </w:t>
      </w:r>
      <w:r w:rsidR="000F1085">
        <w:rPr>
          <w:rFonts w:ascii="Verdana" w:hAnsi="Verdana"/>
          <w:sz w:val="20"/>
          <w:szCs w:val="20"/>
        </w:rPr>
        <w:t>certains</w:t>
      </w:r>
      <w:r w:rsidRPr="000A2243">
        <w:rPr>
          <w:rFonts w:ascii="Verdana" w:hAnsi="Verdana"/>
          <w:sz w:val="20"/>
          <w:szCs w:val="20"/>
        </w:rPr>
        <w:t xml:space="preserve"> d’entre eux auront un effet temporaire </w:t>
      </w:r>
      <w:r w:rsidR="00E22308" w:rsidRPr="000A2243">
        <w:rPr>
          <w:rFonts w:ascii="Verdana" w:hAnsi="Verdana"/>
          <w:sz w:val="20"/>
          <w:szCs w:val="20"/>
        </w:rPr>
        <w:t>et ne sont donc en rien durable</w:t>
      </w:r>
      <w:r w:rsidR="00D94C89" w:rsidRPr="000A2243">
        <w:rPr>
          <w:rFonts w:ascii="Verdana" w:hAnsi="Verdana"/>
          <w:sz w:val="20"/>
          <w:szCs w:val="20"/>
        </w:rPr>
        <w:t>s</w:t>
      </w:r>
      <w:r w:rsidR="00E22308" w:rsidRPr="000A2243">
        <w:rPr>
          <w:rFonts w:ascii="Verdana" w:hAnsi="Verdana"/>
          <w:sz w:val="20"/>
          <w:szCs w:val="20"/>
        </w:rPr>
        <w:t xml:space="preserve">. Pour preuve si </w:t>
      </w:r>
      <w:r w:rsidR="00A8234A">
        <w:rPr>
          <w:rFonts w:ascii="Verdana" w:hAnsi="Verdana"/>
          <w:sz w:val="20"/>
          <w:szCs w:val="20"/>
        </w:rPr>
        <w:t>l’on</w:t>
      </w:r>
      <w:r w:rsidR="00E22308" w:rsidRPr="000A2243">
        <w:rPr>
          <w:rFonts w:ascii="Verdana" w:hAnsi="Verdana"/>
          <w:sz w:val="20"/>
          <w:szCs w:val="20"/>
        </w:rPr>
        <w:t xml:space="preserve"> compare l’indice IPCH</w:t>
      </w:r>
      <w:r w:rsidR="006A652C">
        <w:rPr>
          <w:rFonts w:ascii="Verdana" w:hAnsi="Verdana"/>
          <w:sz w:val="20"/>
          <w:szCs w:val="20"/>
        </w:rPr>
        <w:t xml:space="preserve"> (Indice des prix à la consommation harmonisé)</w:t>
      </w:r>
      <w:r w:rsidR="00E22308" w:rsidRPr="000A2243">
        <w:rPr>
          <w:rFonts w:ascii="Verdana" w:hAnsi="Verdana"/>
          <w:sz w:val="20"/>
          <w:szCs w:val="20"/>
        </w:rPr>
        <w:t xml:space="preserve"> </w:t>
      </w:r>
      <w:r w:rsidR="00D94C89" w:rsidRPr="000A2243">
        <w:rPr>
          <w:rFonts w:ascii="Verdana" w:hAnsi="Verdana"/>
          <w:sz w:val="20"/>
          <w:szCs w:val="20"/>
        </w:rPr>
        <w:t xml:space="preserve">hors </w:t>
      </w:r>
      <w:r w:rsidR="00E22308" w:rsidRPr="000A2243">
        <w:rPr>
          <w:rFonts w:ascii="Verdana" w:hAnsi="Verdana"/>
          <w:sz w:val="20"/>
          <w:szCs w:val="20"/>
        </w:rPr>
        <w:t xml:space="preserve">énergie dans la zone euro, nous sommes passés d’un taux de 1.4% en mai 2020 à 0.9% cette année. </w:t>
      </w:r>
      <w:r w:rsidR="000F1085">
        <w:rPr>
          <w:rFonts w:ascii="Verdana" w:hAnsi="Verdana"/>
          <w:sz w:val="20"/>
          <w:szCs w:val="20"/>
        </w:rPr>
        <w:t>Dans la même logique,</w:t>
      </w:r>
      <w:r w:rsidR="00E22308" w:rsidRPr="000A2243">
        <w:rPr>
          <w:rFonts w:ascii="Verdana" w:hAnsi="Verdana"/>
          <w:sz w:val="20"/>
          <w:szCs w:val="20"/>
        </w:rPr>
        <w:t xml:space="preserve"> l’effet de rattrapage et donc le déséquilibre entre l’offre et la demande va se rééquilibrer avec le temps, même si cela demandera quelques mois. </w:t>
      </w:r>
    </w:p>
    <w:p w14:paraId="35A9B261" w14:textId="5A002546" w:rsidR="00E22308" w:rsidRPr="000A2243" w:rsidRDefault="00E22308" w:rsidP="000A2243">
      <w:pPr>
        <w:tabs>
          <w:tab w:val="num" w:pos="720"/>
        </w:tabs>
        <w:jc w:val="both"/>
        <w:rPr>
          <w:rFonts w:ascii="Verdana" w:hAnsi="Verdana"/>
          <w:sz w:val="20"/>
          <w:szCs w:val="20"/>
        </w:rPr>
      </w:pPr>
      <w:r w:rsidRPr="000A2243">
        <w:rPr>
          <w:rFonts w:ascii="Verdana" w:hAnsi="Verdana"/>
          <w:sz w:val="20"/>
          <w:szCs w:val="20"/>
        </w:rPr>
        <w:t>Ce ne sont donc pas les politiques monétaires accommodantes qui ont provoqué cette hausse de l’inflation</w:t>
      </w:r>
      <w:r w:rsidR="000F1085">
        <w:rPr>
          <w:rFonts w:ascii="Verdana" w:hAnsi="Verdana"/>
          <w:sz w:val="20"/>
          <w:szCs w:val="20"/>
        </w:rPr>
        <w:t>. E</w:t>
      </w:r>
      <w:r w:rsidRPr="000A2243">
        <w:rPr>
          <w:rFonts w:ascii="Verdana" w:hAnsi="Verdana"/>
          <w:sz w:val="20"/>
          <w:szCs w:val="20"/>
        </w:rPr>
        <w:t xml:space="preserve">t remonter les taux maintenant n’aurait aucun effet sur ces facteurs temporaires. Nous </w:t>
      </w:r>
      <w:r w:rsidR="000F1085">
        <w:rPr>
          <w:rFonts w:ascii="Verdana" w:hAnsi="Verdana"/>
          <w:sz w:val="20"/>
          <w:szCs w:val="20"/>
        </w:rPr>
        <w:t>connaitron</w:t>
      </w:r>
      <w:r w:rsidR="00FB302F">
        <w:rPr>
          <w:rFonts w:ascii="Verdana" w:hAnsi="Verdana"/>
          <w:sz w:val="20"/>
          <w:szCs w:val="20"/>
        </w:rPr>
        <w:t>s</w:t>
      </w:r>
      <w:r w:rsidRPr="000A2243">
        <w:rPr>
          <w:rFonts w:ascii="Verdana" w:hAnsi="Verdana"/>
          <w:sz w:val="20"/>
          <w:szCs w:val="20"/>
        </w:rPr>
        <w:t xml:space="preserve"> une remontée des taux en adéquation avec la croissance, mais l’indicateur d’inflation ne peut pas être pour l’instant la bonne référence</w:t>
      </w:r>
      <w:r w:rsidR="000F1085">
        <w:rPr>
          <w:rFonts w:ascii="Verdana" w:hAnsi="Verdana"/>
          <w:sz w:val="20"/>
          <w:szCs w:val="20"/>
        </w:rPr>
        <w:t>. L</w:t>
      </w:r>
      <w:r w:rsidRPr="000A2243">
        <w:rPr>
          <w:rFonts w:ascii="Verdana" w:hAnsi="Verdana"/>
          <w:sz w:val="20"/>
          <w:szCs w:val="20"/>
        </w:rPr>
        <w:t xml:space="preserve">e débat est </w:t>
      </w:r>
      <w:r w:rsidR="000F1085">
        <w:rPr>
          <w:rFonts w:ascii="Verdana" w:hAnsi="Verdana"/>
          <w:sz w:val="20"/>
          <w:szCs w:val="20"/>
        </w:rPr>
        <w:t xml:space="preserve">donc </w:t>
      </w:r>
      <w:r w:rsidRPr="000A2243">
        <w:rPr>
          <w:rFonts w:ascii="Verdana" w:hAnsi="Verdana"/>
          <w:sz w:val="20"/>
          <w:szCs w:val="20"/>
        </w:rPr>
        <w:t>sans doute</w:t>
      </w:r>
      <w:r w:rsidR="00FB302F">
        <w:rPr>
          <w:rFonts w:ascii="Verdana" w:hAnsi="Verdana"/>
          <w:sz w:val="20"/>
          <w:szCs w:val="20"/>
        </w:rPr>
        <w:t xml:space="preserve"> aujourd’hui</w:t>
      </w:r>
      <w:r w:rsidRPr="000A2243">
        <w:rPr>
          <w:rFonts w:ascii="Verdana" w:hAnsi="Verdana"/>
          <w:sz w:val="20"/>
          <w:szCs w:val="20"/>
        </w:rPr>
        <w:t xml:space="preserve"> biaisé. </w:t>
      </w:r>
    </w:p>
    <w:p w14:paraId="166BF818" w14:textId="77777777" w:rsidR="002A474D" w:rsidRPr="002A474D" w:rsidRDefault="002A474D" w:rsidP="002A474D">
      <w:pPr>
        <w:tabs>
          <w:tab w:val="num" w:pos="720"/>
        </w:tabs>
        <w:rPr>
          <w:rFonts w:ascii="Verdana" w:hAnsi="Verdana"/>
          <w:sz w:val="24"/>
          <w:szCs w:val="24"/>
        </w:rPr>
      </w:pPr>
    </w:p>
    <w:p w14:paraId="6C0B3DD3" w14:textId="77777777" w:rsidR="00AE7D51" w:rsidRPr="00AE7D51" w:rsidRDefault="00AE7D51" w:rsidP="00AE7D51">
      <w:pPr>
        <w:tabs>
          <w:tab w:val="num" w:pos="720"/>
        </w:tabs>
        <w:rPr>
          <w:rFonts w:ascii="Verdana" w:hAnsi="Verdana"/>
          <w:sz w:val="24"/>
          <w:szCs w:val="24"/>
        </w:rPr>
      </w:pPr>
    </w:p>
    <w:p w14:paraId="3D9EEC9B" w14:textId="77777777" w:rsidR="00A6174C" w:rsidRPr="00A6174C" w:rsidRDefault="00A6174C" w:rsidP="00A6174C">
      <w:pPr>
        <w:tabs>
          <w:tab w:val="num" w:pos="720"/>
        </w:tabs>
        <w:rPr>
          <w:rFonts w:ascii="Verdana" w:hAnsi="Verdana"/>
          <w:sz w:val="24"/>
          <w:szCs w:val="24"/>
        </w:rPr>
      </w:pPr>
    </w:p>
    <w:p w14:paraId="1724561F" w14:textId="77777777" w:rsidR="00A6174C" w:rsidRPr="00A15306" w:rsidRDefault="00A6174C">
      <w:pPr>
        <w:rPr>
          <w:rFonts w:ascii="Verdana" w:hAnsi="Verdana"/>
          <w:sz w:val="24"/>
          <w:szCs w:val="24"/>
        </w:rPr>
      </w:pPr>
    </w:p>
    <w:sectPr w:rsidR="00A6174C" w:rsidRPr="00A15306" w:rsidSect="00571367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A8200" w14:textId="77777777" w:rsidR="00A52B95" w:rsidRDefault="00A52B95" w:rsidP="00E22308">
      <w:pPr>
        <w:spacing w:after="0" w:line="240" w:lineRule="auto"/>
      </w:pPr>
      <w:r>
        <w:separator/>
      </w:r>
    </w:p>
  </w:endnote>
  <w:endnote w:type="continuationSeparator" w:id="0">
    <w:p w14:paraId="133B6C50" w14:textId="77777777" w:rsidR="00A52B95" w:rsidRDefault="00A52B95" w:rsidP="00E2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BCEF7" w14:textId="77777777" w:rsidR="00A52B95" w:rsidRDefault="00A52B95" w:rsidP="00E22308">
      <w:pPr>
        <w:spacing w:after="0" w:line="240" w:lineRule="auto"/>
      </w:pPr>
      <w:r>
        <w:separator/>
      </w:r>
    </w:p>
  </w:footnote>
  <w:footnote w:type="continuationSeparator" w:id="0">
    <w:p w14:paraId="2EB8540A" w14:textId="77777777" w:rsidR="00A52B95" w:rsidRDefault="00A52B95" w:rsidP="00E22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4D366" w14:textId="16FAA42D" w:rsidR="00E22308" w:rsidRDefault="00571367">
    <w:pPr>
      <w:pStyle w:val="Header"/>
    </w:pPr>
    <w:r>
      <w:rPr>
        <w:noProof/>
      </w:rPr>
      <w:drawing>
        <wp:inline distT="0" distB="0" distL="0" distR="0" wp14:anchorId="28791004" wp14:editId="19CBA2F8">
          <wp:extent cx="968829" cy="754667"/>
          <wp:effectExtent l="0" t="0" r="0" b="0"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972" cy="767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230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A2394CA" wp14:editId="0774EB3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5dec4d6e8eb490fcd67daac4" descr="{&quot;HashCode&quot;:41790946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9933E8" w14:textId="567BC6C9" w:rsidR="00E22308" w:rsidRPr="00E22308" w:rsidRDefault="00E22308" w:rsidP="00E2230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394CA" id="_x0000_t202" coordsize="21600,21600" o:spt="202" path="m,l,21600r21600,l21600,xe">
              <v:stroke joinstyle="miter"/>
              <v:path gradientshapeok="t" o:connecttype="rect"/>
            </v:shapetype>
            <v:shape id="MSIPCM5dec4d6e8eb490fcd67daac4" o:spid="_x0000_s1026" type="#_x0000_t202" alt="{&quot;HashCode&quot;:417909460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" o:allowincell="f" filled="f" stroked="f" strokeweight=".5pt">
              <v:textbox inset=",0,,0">
                <w:txbxContent>
                  <w:p w14:paraId="2F9933E8" w14:textId="567BC6C9" w:rsidR="00E22308" w:rsidRPr="00E22308" w:rsidRDefault="00E22308" w:rsidP="00E2230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C779B"/>
    <w:multiLevelType w:val="hybridMultilevel"/>
    <w:tmpl w:val="B338D8E8"/>
    <w:lvl w:ilvl="0" w:tplc="B596AB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A242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200C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6E98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7238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BAB3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0A8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A89C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8697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95D23"/>
    <w:multiLevelType w:val="hybridMultilevel"/>
    <w:tmpl w:val="B39A9F6C"/>
    <w:lvl w:ilvl="0" w:tplc="790410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3C80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A6FE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0C44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CA13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DEF0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3C08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6CAE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2A64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F4B05"/>
    <w:multiLevelType w:val="hybridMultilevel"/>
    <w:tmpl w:val="A634AFB0"/>
    <w:lvl w:ilvl="0" w:tplc="A7F037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2253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EA03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3E46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2270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4046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2E4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1682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1C4D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2B"/>
    <w:rsid w:val="00033C91"/>
    <w:rsid w:val="000A2243"/>
    <w:rsid w:val="000F1085"/>
    <w:rsid w:val="000F642F"/>
    <w:rsid w:val="00134FDF"/>
    <w:rsid w:val="001B1D5A"/>
    <w:rsid w:val="001E563F"/>
    <w:rsid w:val="002A474D"/>
    <w:rsid w:val="002E4566"/>
    <w:rsid w:val="00301C61"/>
    <w:rsid w:val="003064FA"/>
    <w:rsid w:val="00412A19"/>
    <w:rsid w:val="00486862"/>
    <w:rsid w:val="004960AD"/>
    <w:rsid w:val="00571367"/>
    <w:rsid w:val="005925E0"/>
    <w:rsid w:val="006A652C"/>
    <w:rsid w:val="006C6552"/>
    <w:rsid w:val="00711284"/>
    <w:rsid w:val="007520E0"/>
    <w:rsid w:val="00797967"/>
    <w:rsid w:val="007D556E"/>
    <w:rsid w:val="0088372D"/>
    <w:rsid w:val="009E2DCC"/>
    <w:rsid w:val="00A15306"/>
    <w:rsid w:val="00A52B95"/>
    <w:rsid w:val="00A6174C"/>
    <w:rsid w:val="00A8234A"/>
    <w:rsid w:val="00AE7D51"/>
    <w:rsid w:val="00C66DD2"/>
    <w:rsid w:val="00D6711B"/>
    <w:rsid w:val="00D94C89"/>
    <w:rsid w:val="00DE3D82"/>
    <w:rsid w:val="00E22308"/>
    <w:rsid w:val="00E34D78"/>
    <w:rsid w:val="00E5372E"/>
    <w:rsid w:val="00EB392B"/>
    <w:rsid w:val="00EB44A8"/>
    <w:rsid w:val="00FA7CEB"/>
    <w:rsid w:val="00FB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9D542A0"/>
  <w15:chartTrackingRefBased/>
  <w15:docId w15:val="{5ABE6DD9-2B2D-4EC5-8FC0-420973E1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2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308"/>
  </w:style>
  <w:style w:type="paragraph" w:styleId="Footer">
    <w:name w:val="footer"/>
    <w:basedOn w:val="Normal"/>
    <w:link w:val="FooterChar"/>
    <w:uiPriority w:val="99"/>
    <w:unhideWhenUsed/>
    <w:rsid w:val="00E22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308"/>
  </w:style>
  <w:style w:type="character" w:customStyle="1" w:styleId="Heading1Char">
    <w:name w:val="Heading 1 Char"/>
    <w:basedOn w:val="DefaultParagraphFont"/>
    <w:link w:val="Heading1"/>
    <w:uiPriority w:val="9"/>
    <w:rsid w:val="000A2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6045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288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666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730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Keppenne</dc:creator>
  <cp:keywords/>
  <dc:description/>
  <cp:lastModifiedBy>Sarah Perez</cp:lastModifiedBy>
  <cp:revision>6</cp:revision>
  <dcterms:created xsi:type="dcterms:W3CDTF">2021-06-10T12:55:00Z</dcterms:created>
  <dcterms:modified xsi:type="dcterms:W3CDTF">2021-06-11T07:24:00Z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4a7eb9-e308-4cb8-ad88-b50d70445f3a_Enabled">
    <vt:lpwstr>true</vt:lpwstr>
  </property>
  <property fmtid="{D5CDD505-2E9C-101B-9397-08002B2CF9AE}" pid="3" name="MSIP_Label_d44a7eb9-e308-4cb8-ad88-b50d70445f3a_SetDate">
    <vt:lpwstr>2021-06-10T12:49:27Z</vt:lpwstr>
  </property>
  <property fmtid="{D5CDD505-2E9C-101B-9397-08002B2CF9AE}" pid="4" name="MSIP_Label_d44a7eb9-e308-4cb8-ad88-b50d70445f3a_Method">
    <vt:lpwstr>Privileged</vt:lpwstr>
  </property>
  <property fmtid="{D5CDD505-2E9C-101B-9397-08002B2CF9AE}" pid="5" name="MSIP_Label_d44a7eb9-e308-4cb8-ad88-b50d70445f3a_Name">
    <vt:lpwstr>d44a7eb9-e308-4cb8-ad88-b50d70445f3a</vt:lpwstr>
  </property>
  <property fmtid="{D5CDD505-2E9C-101B-9397-08002B2CF9AE}" pid="6" name="MSIP_Label_d44a7eb9-e308-4cb8-ad88-b50d70445f3a_SiteId">
    <vt:lpwstr>64af2aee-7d6c-49ac-a409-192d3fee73b8</vt:lpwstr>
  </property>
  <property fmtid="{D5CDD505-2E9C-101B-9397-08002B2CF9AE}" pid="7" name="MSIP_Label_d44a7eb9-e308-4cb8-ad88-b50d70445f3a_ActionId">
    <vt:lpwstr>b8965e45-8431-4a12-b4b1-b6fddc2baaa8</vt:lpwstr>
  </property>
  <property fmtid="{D5CDD505-2E9C-101B-9397-08002B2CF9AE}" pid="8" name="MSIP_Label_d44a7eb9-e308-4cb8-ad88-b50d70445f3a_ContentBits">
    <vt:lpwstr>1</vt:lpwstr>
  </property>
</Properties>
</file>